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2C" w:rsidRPr="004126BF" w:rsidRDefault="004D102C">
      <w:pPr>
        <w:pStyle w:val="normal"/>
        <w:rPr>
          <w:rFonts w:ascii="Times New Roman" w:hAnsi="Times New Roman" w:cs="Times New Roman"/>
        </w:rPr>
      </w:pPr>
    </w:p>
    <w:tbl>
      <w:tblPr>
        <w:tblStyle w:val="a"/>
        <w:tblW w:w="8850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/>
      </w:tblPr>
      <w:tblGrid>
        <w:gridCol w:w="3000"/>
        <w:gridCol w:w="5850"/>
      </w:tblGrid>
      <w:tr w:rsidR="004D102C" w:rsidRPr="004126BF">
        <w:trPr>
          <w:trHeight w:val="97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Docente, materia, Classe, Monte</w:t>
            </w:r>
            <w:r w:rsidR="004126BF"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 xml:space="preserve"> </w:t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ore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</w:rPr>
            </w:pPr>
            <w:r w:rsidRPr="004126BF">
              <w:rPr>
                <w:rFonts w:ascii="Times New Roman" w:eastAsia="Times New Roman" w:hAnsi="Times New Roman" w:cs="Times New Roman"/>
              </w:rPr>
              <w:t>Docente:</w:t>
            </w:r>
            <w:r w:rsidR="004126BF" w:rsidRPr="004126BF">
              <w:rPr>
                <w:rFonts w:ascii="Times New Roman" w:eastAsia="Times New Roman" w:hAnsi="Times New Roman" w:cs="Times New Roman"/>
                <w:b/>
              </w:rPr>
              <w:t xml:space="preserve"> Prof.ssa Del Gaone Daniela</w:t>
            </w:r>
          </w:p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</w:rPr>
            </w:pPr>
            <w:r w:rsidRPr="004126BF">
              <w:rPr>
                <w:rFonts w:ascii="Times New Roman" w:eastAsia="Times New Roman" w:hAnsi="Times New Roman" w:cs="Times New Roman"/>
              </w:rPr>
              <w:t>Materia:</w:t>
            </w:r>
            <w:r w:rsidRPr="004126BF">
              <w:rPr>
                <w:rFonts w:ascii="Times New Roman" w:eastAsia="Times New Roman" w:hAnsi="Times New Roman" w:cs="Times New Roman"/>
                <w:b/>
              </w:rPr>
              <w:t xml:space="preserve"> Storia</w:t>
            </w:r>
          </w:p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</w:rPr>
            </w:pPr>
            <w:r w:rsidRPr="004126BF">
              <w:rPr>
                <w:rFonts w:ascii="Times New Roman" w:eastAsia="Times New Roman" w:hAnsi="Times New Roman" w:cs="Times New Roman"/>
              </w:rPr>
              <w:t>Classe:</w:t>
            </w:r>
            <w:r w:rsidR="004126BF" w:rsidRPr="004126BF">
              <w:rPr>
                <w:rFonts w:ascii="Times New Roman" w:eastAsia="Times New Roman" w:hAnsi="Times New Roman" w:cs="Times New Roman"/>
                <w:b/>
              </w:rPr>
              <w:t xml:space="preserve"> 3^BS</w:t>
            </w:r>
            <w:r w:rsidRPr="004126B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</w:rPr>
            </w:pPr>
            <w:r w:rsidRPr="004126BF">
              <w:rPr>
                <w:rFonts w:ascii="Times New Roman" w:eastAsia="Times New Roman" w:hAnsi="Times New Roman" w:cs="Times New Roman"/>
              </w:rPr>
              <w:t xml:space="preserve">Indirizzo di studio: </w:t>
            </w:r>
            <w:r w:rsidRPr="004126BF">
              <w:rPr>
                <w:rFonts w:ascii="Times New Roman" w:eastAsia="Times New Roman" w:hAnsi="Times New Roman" w:cs="Times New Roman"/>
                <w:b/>
              </w:rPr>
              <w:t xml:space="preserve">Servizi </w:t>
            </w:r>
            <w:r w:rsidR="004126BF" w:rsidRPr="004126BF">
              <w:rPr>
                <w:rFonts w:ascii="Times New Roman" w:eastAsia="Times New Roman" w:hAnsi="Times New Roman" w:cs="Times New Roman"/>
                <w:b/>
              </w:rPr>
              <w:t>Socio Sanitari</w:t>
            </w:r>
          </w:p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</w:rPr>
            </w:pPr>
            <w:r w:rsidRPr="004126BF">
              <w:rPr>
                <w:rFonts w:ascii="Times New Roman" w:eastAsia="Times New Roman" w:hAnsi="Times New Roman" w:cs="Times New Roman"/>
              </w:rPr>
              <w:t xml:space="preserve">ore: </w:t>
            </w:r>
            <w:r w:rsidRPr="004126BF"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</w:tr>
      <w:tr w:rsidR="004D102C" w:rsidRPr="004126BF">
        <w:trPr>
          <w:trHeight w:val="480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1. Titolo UdA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Storia  3^ anno</w:t>
            </w:r>
          </w:p>
        </w:tc>
      </w:tr>
      <w:tr w:rsidR="004D102C" w:rsidRPr="004126BF">
        <w:trPr>
          <w:trHeight w:val="49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2. Descrizione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 w:rsidP="004126BF">
            <w:pPr>
              <w:pStyle w:val="normal"/>
              <w:jc w:val="both"/>
              <w:rPr>
                <w:rFonts w:ascii="Times New Roman" w:eastAsia="Times New Roman" w:hAnsi="Times New Roman" w:cs="Times New Roman"/>
              </w:rPr>
            </w:pPr>
            <w:r w:rsidRPr="004126BF">
              <w:rPr>
                <w:rFonts w:ascii="Times New Roman" w:eastAsia="Times New Roman" w:hAnsi="Times New Roman" w:cs="Times New Roman"/>
              </w:rPr>
              <w:t>L’UdA intende promuovere la</w:t>
            </w:r>
            <w:r w:rsidRPr="004126BF">
              <w:rPr>
                <w:rFonts w:ascii="Times New Roman" w:eastAsia="Times New Roman" w:hAnsi="Times New Roman" w:cs="Times New Roman"/>
                <w:b/>
              </w:rPr>
              <w:t xml:space="preserve"> comprensione</w:t>
            </w:r>
            <w:r w:rsidRPr="004126BF">
              <w:rPr>
                <w:rFonts w:ascii="Times New Roman" w:eastAsia="Times New Roman" w:hAnsi="Times New Roman" w:cs="Times New Roman"/>
              </w:rPr>
              <w:t xml:space="preserve"> del cambiamento e la diversità dei tempi storici in una dimensione diacronica attraverso il confronto fra epoche; la </w:t>
            </w:r>
            <w:r w:rsidRPr="004126BF">
              <w:rPr>
                <w:rFonts w:ascii="Times New Roman" w:eastAsia="Times New Roman" w:hAnsi="Times New Roman" w:cs="Times New Roman"/>
                <w:b/>
              </w:rPr>
              <w:t>conoscenza</w:t>
            </w:r>
            <w:r w:rsidRPr="004126BF">
              <w:rPr>
                <w:rFonts w:ascii="Times New Roman" w:eastAsia="Times New Roman" w:hAnsi="Times New Roman" w:cs="Times New Roman"/>
              </w:rPr>
              <w:t xml:space="preserve"> delle caratteristiche degli aspetti geografici, ecologici, territoriali dell’ambiente naturale ed antropico; la </w:t>
            </w:r>
            <w:r w:rsidRPr="004126BF">
              <w:rPr>
                <w:rFonts w:ascii="Times New Roman" w:eastAsia="Times New Roman" w:hAnsi="Times New Roman" w:cs="Times New Roman"/>
                <w:b/>
              </w:rPr>
              <w:t>consapevolezza</w:t>
            </w:r>
            <w:r w:rsidRPr="004126BF">
              <w:rPr>
                <w:rFonts w:ascii="Times New Roman" w:eastAsia="Times New Roman" w:hAnsi="Times New Roman" w:cs="Times New Roman"/>
              </w:rPr>
              <w:t xml:space="preserve"> delle connessioni con le strutture demografiche, economiche, sociali, e le trasformazioni intervenute nel corso del tempo.</w:t>
            </w:r>
          </w:p>
        </w:tc>
      </w:tr>
      <w:tr w:rsidR="004D102C" w:rsidRPr="004126BF">
        <w:trPr>
          <w:trHeight w:val="301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3. Competenze target (obiettivi profilo professionale)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Competenza in uscita n°3:</w:t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ab/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ab/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ab/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ab/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ab/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Riconoscere gli aspetti geografici, ecologici, territoriali, dell’ambiente naturale ed antropico, le connessioni con le strutture demografiche, economiche, sociali, culturali e le trasformazioni intervenute nel corso del tempo.</w:t>
            </w:r>
          </w:p>
          <w:p w:rsidR="004D102C" w:rsidRPr="004126BF" w:rsidRDefault="002925F3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80"/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>
              <w:rPr>
                <w:rFonts w:ascii="Times New Roman" w:eastAsia="Times New Roman" w:hAnsi="Times New Roman" w:cs="Times New Roman"/>
                <w:color w:val="191617"/>
              </w:rPr>
              <w:t>Competenza intermedia: i</w:t>
            </w:r>
            <w:r w:rsidR="00070806" w:rsidRPr="004126BF">
              <w:rPr>
                <w:rFonts w:ascii="Times New Roman" w:eastAsia="Times New Roman" w:hAnsi="Times New Roman" w:cs="Times New Roman"/>
                <w:color w:val="191617"/>
              </w:rPr>
              <w:t xml:space="preserve">dentificare le relazioni tra le caratteristiche geomorfologiche e lo sviluppo del proprio territorio, anche in prospettiva storica, e utilizzare idonei strumenti di rappresentazione dei dati acquisiti. </w:t>
            </w:r>
          </w:p>
          <w:p w:rsidR="004D102C" w:rsidRPr="004126BF" w:rsidRDefault="0007080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Competenza in uscita n°6:</w:t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ab/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ab/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ab/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ab/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Riconoscere il valore e le potenzialità dei beni artistici e ambientali.</w:t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ab/>
            </w:r>
          </w:p>
          <w:p w:rsidR="004D102C" w:rsidRPr="004126BF" w:rsidRDefault="002925F3">
            <w:pPr>
              <w:pStyle w:val="normal"/>
              <w:spacing w:after="180"/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>
              <w:rPr>
                <w:rFonts w:ascii="Times New Roman" w:eastAsia="Times New Roman" w:hAnsi="Times New Roman" w:cs="Times New Roman"/>
                <w:color w:val="191617"/>
              </w:rPr>
              <w:t>Competenza intermedia: c</w:t>
            </w:r>
            <w:r w:rsidR="00070806" w:rsidRPr="004126BF">
              <w:rPr>
                <w:rFonts w:ascii="Times New Roman" w:eastAsia="Times New Roman" w:hAnsi="Times New Roman" w:cs="Times New Roman"/>
                <w:color w:val="191617"/>
              </w:rPr>
              <w:t>orrelare le informazioni acquisite sui beni artistici e ambientali alle attività economiche presenti nel territorio, ai loro possibili sviluppi in termini di fruibilità, anche in relazione all’area professionale di riferimento.</w:t>
            </w:r>
          </w:p>
        </w:tc>
      </w:tr>
      <w:tr w:rsidR="004D102C" w:rsidRPr="004126BF">
        <w:trPr>
          <w:trHeight w:val="157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4. Saperi essenziali (contenuti)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Europa alla fine del 1^ millennio;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Rinascita nelle campagne e nelle città;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Le crociate;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I Comuni;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Dai poteri universali alle monarchie feudali;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La crisi del Trecento e la peste;</w:t>
            </w:r>
          </w:p>
          <w:p w:rsidR="004D102C" w:rsidRPr="004126BF" w:rsidRDefault="004126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M</w:t>
            </w:r>
            <w:r w:rsidR="00070806" w:rsidRPr="004126BF">
              <w:rPr>
                <w:rFonts w:ascii="Times New Roman" w:eastAsia="Times New Roman" w:hAnsi="Times New Roman" w:cs="Times New Roman"/>
                <w:color w:val="191617"/>
              </w:rPr>
              <w:t xml:space="preserve">onarchie europee e stati regionali italiani </w:t>
            </w:r>
          </w:p>
          <w:p w:rsidR="004D102C" w:rsidRPr="004126BF" w:rsidRDefault="004126BF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I</w:t>
            </w:r>
            <w:r w:rsidR="00070806" w:rsidRPr="004126BF">
              <w:rPr>
                <w:rFonts w:ascii="Times New Roman" w:eastAsia="Times New Roman" w:hAnsi="Times New Roman" w:cs="Times New Roman"/>
                <w:color w:val="191617"/>
              </w:rPr>
              <w:t>l Rinascimento;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Le scoperte geografiche;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Carlo V;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lastRenderedPageBreak/>
              <w:t>La riforma di Lutero e la Controriforma;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Le guerre di religione;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L’età di Richelieu ed Elisabetta I;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Assolutismo e monarchia parlamentare;</w:t>
            </w:r>
          </w:p>
          <w:p w:rsidR="004D102C" w:rsidRPr="004126BF" w:rsidRDefault="00070806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La rivoluzione scientifica</w:t>
            </w:r>
          </w:p>
        </w:tc>
      </w:tr>
      <w:tr w:rsidR="004D102C" w:rsidRPr="004126BF">
        <w:trPr>
          <w:trHeight w:val="67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lastRenderedPageBreak/>
              <w:t>5. Insegnamenti coinvolti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102C" w:rsidRPr="004126BF" w:rsidRDefault="00070806">
            <w:pPr>
              <w:pStyle w:val="normal"/>
              <w:jc w:val="both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Asse storico-sociale: Storia</w:t>
            </w:r>
            <w:r w:rsidR="004126BF"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 xml:space="preserve"> e Storia dell’arte in collaborazione con la Prof.ssa Francesca D’Agata</w:t>
            </w:r>
          </w:p>
          <w:p w:rsidR="004D102C" w:rsidRPr="004126BF" w:rsidRDefault="00070806">
            <w:pPr>
              <w:pStyle w:val="normal"/>
              <w:jc w:val="both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Asse dei linguaggi</w:t>
            </w:r>
            <w:r w:rsidR="002925F3">
              <w:rPr>
                <w:rFonts w:ascii="Times New Roman" w:eastAsia="Times New Roman" w:hAnsi="Times New Roman" w:cs="Times New Roman"/>
                <w:color w:val="191617"/>
              </w:rPr>
              <w:t xml:space="preserve"> e storico-sociale</w:t>
            </w:r>
          </w:p>
        </w:tc>
      </w:tr>
      <w:tr w:rsidR="004D102C" w:rsidRPr="004126BF">
        <w:trPr>
          <w:trHeight w:val="720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6. Prodotto da realizzare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</w:rPr>
              <w:t>Consapevolezza culturale e sviluppo della persona umana</w:t>
            </w:r>
          </w:p>
        </w:tc>
      </w:tr>
      <w:tr w:rsidR="004D102C" w:rsidRPr="004126BF">
        <w:trPr>
          <w:trHeight w:val="67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 xml:space="preserve">7. Attività degli studenti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 xml:space="preserve">Ascolto e </w:t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partecipazione attiva</w:t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 xml:space="preserve"> alle diverse esperienze di apprendimento proposte.</w:t>
            </w:r>
          </w:p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Verifiche in itinere e/o finali dei percorsi offerti.</w:t>
            </w:r>
          </w:p>
        </w:tc>
      </w:tr>
      <w:tr w:rsidR="004D102C" w:rsidRPr="004126BF">
        <w:trPr>
          <w:trHeight w:val="103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 xml:space="preserve">8. Attività dei docenti 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</w:rPr>
            </w:pPr>
            <w:r w:rsidRPr="004126BF">
              <w:rPr>
                <w:rFonts w:ascii="Times New Roman" w:eastAsia="Times New Roman" w:hAnsi="Times New Roman" w:cs="Times New Roman"/>
                <w:b/>
              </w:rPr>
              <w:t>Lezioni frontali, dialogate e partecipate</w:t>
            </w:r>
            <w:r w:rsidRPr="004126BF">
              <w:rPr>
                <w:rFonts w:ascii="Times New Roman" w:eastAsia="Times New Roman" w:hAnsi="Times New Roman" w:cs="Times New Roman"/>
              </w:rPr>
              <w:t>; i docenti coinvolti proporranno inoltre diverse  esperienze di apprendimento attenendosi alle note del Ministero che regolano la Didattica a distanza (</w:t>
            </w:r>
            <w:r w:rsidRPr="004126BF">
              <w:rPr>
                <w:rFonts w:ascii="Times New Roman" w:eastAsia="Times New Roman" w:hAnsi="Times New Roman" w:cs="Times New Roman"/>
                <w:b/>
              </w:rPr>
              <w:t>DAD</w:t>
            </w:r>
            <w:r w:rsidRPr="004126BF">
              <w:rPr>
                <w:rFonts w:ascii="Times New Roman" w:eastAsia="Times New Roman" w:hAnsi="Times New Roman" w:cs="Times New Roman"/>
              </w:rPr>
              <w:t>).</w:t>
            </w:r>
          </w:p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Verifiche in itinere e/o finali dei percorsi proposti.</w:t>
            </w:r>
          </w:p>
        </w:tc>
      </w:tr>
      <w:tr w:rsidR="004D102C" w:rsidRPr="004126BF">
        <w:trPr>
          <w:trHeight w:val="540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9. Monte</w:t>
            </w:r>
            <w:r w:rsidR="004126BF"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 xml:space="preserve"> </w:t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ore complessivo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Il percorso dell’Uda si distende lungo il corso dell’</w:t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intero anno</w:t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 xml:space="preserve"> scolastico per un numero complessivo di circa</w:t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 xml:space="preserve"> 66 ore</w:t>
            </w:r>
          </w:p>
        </w:tc>
      </w:tr>
      <w:tr w:rsidR="004D102C" w:rsidRPr="004126BF">
        <w:trPr>
          <w:trHeight w:val="49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10. Strumenti didattici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 w:rsidP="004126BF">
            <w:pPr>
              <w:pStyle w:val="normal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Libri di testo</w:t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, fotocopie, materi</w:t>
            </w:r>
            <w:r w:rsidR="004126BF" w:rsidRPr="004126BF">
              <w:rPr>
                <w:rFonts w:ascii="Times New Roman" w:eastAsia="Times New Roman" w:hAnsi="Times New Roman" w:cs="Times New Roman"/>
                <w:color w:val="191617"/>
              </w:rPr>
              <w:t xml:space="preserve">ale fornito dai docenti, Lim </w:t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 xml:space="preserve">, </w:t>
            </w: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media education</w:t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, Google classroom.</w:t>
            </w:r>
          </w:p>
        </w:tc>
      </w:tr>
      <w:tr w:rsidR="004D102C" w:rsidRPr="004126BF">
        <w:trPr>
          <w:trHeight w:val="1575"/>
        </w:trPr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4D4D4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b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11. Criteri per la valutazione e la certificazione dell’apprendimento</w:t>
            </w:r>
          </w:p>
        </w:tc>
        <w:tc>
          <w:tcPr>
            <w:tcW w:w="5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>In ogni verifica viene assegnato il punteggio di ogni domanda. La griglia di valutazione è riportata su ogni verifica effettuata</w:t>
            </w:r>
          </w:p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color w:val="191617"/>
              </w:rPr>
              <w:t xml:space="preserve">Si fa riferimento ai criteri definiti in dipartimento di materia..  </w:t>
            </w:r>
          </w:p>
          <w:p w:rsidR="004D102C" w:rsidRPr="004126BF" w:rsidRDefault="00070806">
            <w:pPr>
              <w:pStyle w:val="normal"/>
              <w:rPr>
                <w:rFonts w:ascii="Times New Roman" w:eastAsia="Times New Roman" w:hAnsi="Times New Roman" w:cs="Times New Roman"/>
                <w:color w:val="191617"/>
              </w:rPr>
            </w:pPr>
            <w:r w:rsidRPr="004126BF">
              <w:rPr>
                <w:rFonts w:ascii="Times New Roman" w:eastAsia="Times New Roman" w:hAnsi="Times New Roman" w:cs="Times New Roman"/>
                <w:b/>
                <w:color w:val="191617"/>
              </w:rPr>
              <w:t>La valutazione finale delle competenze terrà conto del risultato della somma delle valutazioni intermedie, dell’impegno, della motivazione e della crescita personale</w:t>
            </w:r>
            <w:r w:rsidRPr="004126BF">
              <w:rPr>
                <w:rFonts w:ascii="Times New Roman" w:eastAsia="Times New Roman" w:hAnsi="Times New Roman" w:cs="Times New Roman"/>
                <w:color w:val="191617"/>
              </w:rPr>
              <w:t xml:space="preserve"> dell’alunno al fine di promuovere il successo formativo.</w:t>
            </w:r>
          </w:p>
        </w:tc>
      </w:tr>
    </w:tbl>
    <w:p w:rsidR="004D102C" w:rsidRPr="004126BF" w:rsidRDefault="004D102C">
      <w:pPr>
        <w:pStyle w:val="normal"/>
        <w:rPr>
          <w:rFonts w:ascii="Times New Roman" w:hAnsi="Times New Roman" w:cs="Times New Roman"/>
        </w:rPr>
      </w:pPr>
    </w:p>
    <w:sectPr w:rsidR="004D102C" w:rsidRPr="004126BF" w:rsidSect="004D102C">
      <w:headerReference w:type="default" r:id="rId6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0806" w:rsidRDefault="00070806" w:rsidP="004D102C">
      <w:pPr>
        <w:spacing w:line="240" w:lineRule="auto"/>
      </w:pPr>
      <w:r>
        <w:separator/>
      </w:r>
    </w:p>
  </w:endnote>
  <w:endnote w:type="continuationSeparator" w:id="1">
    <w:p w:rsidR="00070806" w:rsidRDefault="00070806" w:rsidP="004D102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0806" w:rsidRDefault="00070806" w:rsidP="004D102C">
      <w:pPr>
        <w:spacing w:line="240" w:lineRule="auto"/>
      </w:pPr>
      <w:r>
        <w:separator/>
      </w:r>
    </w:p>
  </w:footnote>
  <w:footnote w:type="continuationSeparator" w:id="1">
    <w:p w:rsidR="00070806" w:rsidRDefault="00070806" w:rsidP="004D102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102C" w:rsidRDefault="00070806">
    <w:pPr>
      <w:pStyle w:val="normal"/>
    </w:pPr>
    <w:r>
      <w:rPr>
        <w:noProof/>
      </w:rPr>
      <w:drawing>
        <wp:inline distT="114300" distB="114300" distL="114300" distR="114300">
          <wp:extent cx="5731200" cy="77470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774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102C"/>
    <w:rsid w:val="00070806"/>
    <w:rsid w:val="002925F3"/>
    <w:rsid w:val="004126BF"/>
    <w:rsid w:val="004D102C"/>
    <w:rsid w:val="00B16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6A69"/>
  </w:style>
  <w:style w:type="paragraph" w:styleId="Titolo1">
    <w:name w:val="heading 1"/>
    <w:basedOn w:val="normal"/>
    <w:next w:val="normal"/>
    <w:rsid w:val="004D102C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4D102C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4D102C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4D102C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4D102C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4D102C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4D102C"/>
  </w:style>
  <w:style w:type="table" w:customStyle="1" w:styleId="TableNormal">
    <w:name w:val="Table Normal"/>
    <w:rsid w:val="004D10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4D102C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4D102C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4D102C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126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126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delgaone</cp:lastModifiedBy>
  <cp:revision>3</cp:revision>
  <dcterms:created xsi:type="dcterms:W3CDTF">2020-10-23T13:52:00Z</dcterms:created>
  <dcterms:modified xsi:type="dcterms:W3CDTF">2020-10-23T14:04:00Z</dcterms:modified>
</cp:coreProperties>
</file>